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FA" w:rsidRPr="00160839" w:rsidRDefault="00EF64FA" w:rsidP="00EF64FA">
      <w:pPr>
        <w:rPr>
          <w:b/>
          <w:sz w:val="22"/>
          <w:szCs w:val="22"/>
          <w:lang w:val="uk-UA"/>
        </w:rPr>
      </w:pPr>
      <w:r w:rsidRPr="00160839">
        <w:rPr>
          <w:b/>
          <w:sz w:val="22"/>
          <w:szCs w:val="22"/>
          <w:lang w:val="uk-UA"/>
        </w:rPr>
        <w:t>ПРИВАТНЕ АКЦІОНЕРНЕ ТОВАРИСТВО «СЕНТРАВІС ПРОДАКШН ЮКРЕЙН»</w:t>
      </w:r>
    </w:p>
    <w:p w:rsidR="00EF64FA" w:rsidRPr="00160839" w:rsidRDefault="00EF64FA" w:rsidP="00EF64FA">
      <w:pPr>
        <w:rPr>
          <w:b/>
          <w:sz w:val="22"/>
          <w:szCs w:val="22"/>
          <w:lang w:val="uk-UA"/>
        </w:rPr>
      </w:pPr>
    </w:p>
    <w:p w:rsidR="00EF64FA" w:rsidRPr="00160839" w:rsidRDefault="00EF64FA" w:rsidP="00EF64FA">
      <w:pPr>
        <w:widowControl w:val="0"/>
        <w:autoSpaceDE w:val="0"/>
        <w:autoSpaceDN w:val="0"/>
        <w:adjustRightInd w:val="0"/>
        <w:jc w:val="both"/>
        <w:rPr>
          <w:b/>
          <w:bCs/>
          <w:sz w:val="22"/>
          <w:szCs w:val="22"/>
          <w:lang w:val="uk-UA"/>
        </w:rPr>
      </w:pPr>
      <w:r w:rsidRPr="00160839">
        <w:rPr>
          <w:b/>
          <w:bCs/>
          <w:sz w:val="22"/>
          <w:szCs w:val="22"/>
          <w:lang w:val="uk-UA"/>
        </w:rPr>
        <w:t>1. Загальні відомості</w:t>
      </w:r>
    </w:p>
    <w:p w:rsidR="00EF64FA" w:rsidRPr="00160839" w:rsidRDefault="00EF64FA" w:rsidP="00EF64FA">
      <w:pPr>
        <w:widowControl w:val="0"/>
        <w:autoSpaceDE w:val="0"/>
        <w:autoSpaceDN w:val="0"/>
        <w:adjustRightInd w:val="0"/>
        <w:jc w:val="both"/>
        <w:rPr>
          <w:sz w:val="22"/>
          <w:szCs w:val="22"/>
          <w:lang w:val="uk-UA"/>
        </w:rPr>
      </w:pPr>
      <w:r w:rsidRPr="00160839">
        <w:rPr>
          <w:b/>
          <w:sz w:val="22"/>
          <w:szCs w:val="22"/>
          <w:lang w:val="uk-UA"/>
        </w:rPr>
        <w:t xml:space="preserve">Повне найменування емітента: </w:t>
      </w:r>
      <w:r w:rsidRPr="00160839">
        <w:rPr>
          <w:sz w:val="22"/>
          <w:szCs w:val="22"/>
          <w:lang w:val="uk-UA"/>
        </w:rPr>
        <w:t xml:space="preserve">ПРИВАТНЕ АКЦIОНЕРНЕ ТОВАРИСТВО «СЕНТРАВIС ПРОДАКШН ЮКРЕЙН» </w:t>
      </w:r>
    </w:p>
    <w:p w:rsidR="00EF64FA" w:rsidRPr="00160839" w:rsidRDefault="00EF64FA" w:rsidP="00EF64FA">
      <w:pPr>
        <w:widowControl w:val="0"/>
        <w:autoSpaceDE w:val="0"/>
        <w:autoSpaceDN w:val="0"/>
        <w:adjustRightInd w:val="0"/>
        <w:jc w:val="both"/>
        <w:rPr>
          <w:sz w:val="22"/>
          <w:szCs w:val="22"/>
          <w:lang w:val="uk-UA"/>
        </w:rPr>
      </w:pPr>
      <w:r w:rsidRPr="00160839">
        <w:rPr>
          <w:b/>
          <w:sz w:val="22"/>
          <w:szCs w:val="22"/>
          <w:lang w:val="uk-UA"/>
        </w:rPr>
        <w:t xml:space="preserve">Код за ЄДРПОУ:   </w:t>
      </w:r>
      <w:r w:rsidRPr="00160839">
        <w:rPr>
          <w:sz w:val="22"/>
          <w:szCs w:val="22"/>
          <w:lang w:val="uk-UA"/>
        </w:rPr>
        <w:t xml:space="preserve">30926946 </w:t>
      </w:r>
    </w:p>
    <w:p w:rsidR="00EF64FA" w:rsidRPr="00160839" w:rsidRDefault="00EF64FA" w:rsidP="00EF64FA">
      <w:pPr>
        <w:widowControl w:val="0"/>
        <w:autoSpaceDE w:val="0"/>
        <w:autoSpaceDN w:val="0"/>
        <w:adjustRightInd w:val="0"/>
        <w:jc w:val="both"/>
        <w:rPr>
          <w:sz w:val="22"/>
          <w:szCs w:val="22"/>
          <w:lang w:val="uk-UA"/>
        </w:rPr>
      </w:pPr>
      <w:r w:rsidRPr="00160839">
        <w:rPr>
          <w:b/>
          <w:sz w:val="22"/>
          <w:szCs w:val="22"/>
          <w:lang w:val="uk-UA"/>
        </w:rPr>
        <w:t xml:space="preserve">Місцезнаходження: </w:t>
      </w:r>
      <w:r w:rsidRPr="00160839">
        <w:rPr>
          <w:sz w:val="22"/>
          <w:szCs w:val="22"/>
          <w:lang w:val="uk-UA"/>
        </w:rPr>
        <w:t xml:space="preserve">53201, Україна, Дніпропетровська обл., місто Нікополь, проспект Трубників, будинок 56 </w:t>
      </w:r>
    </w:p>
    <w:p w:rsidR="00EF64FA" w:rsidRPr="00160839" w:rsidRDefault="00EF64FA" w:rsidP="00EF64FA">
      <w:pPr>
        <w:widowControl w:val="0"/>
        <w:autoSpaceDE w:val="0"/>
        <w:autoSpaceDN w:val="0"/>
        <w:adjustRightInd w:val="0"/>
        <w:jc w:val="both"/>
        <w:rPr>
          <w:sz w:val="22"/>
          <w:szCs w:val="22"/>
          <w:lang w:val="uk-UA"/>
        </w:rPr>
      </w:pPr>
      <w:r w:rsidRPr="00160839">
        <w:rPr>
          <w:b/>
          <w:sz w:val="22"/>
          <w:szCs w:val="22"/>
          <w:lang w:val="uk-UA"/>
        </w:rPr>
        <w:t xml:space="preserve">Міжміський код, телефон та факс:  </w:t>
      </w:r>
      <w:r w:rsidRPr="00160839">
        <w:rPr>
          <w:sz w:val="22"/>
          <w:szCs w:val="22"/>
          <w:lang w:val="uk-UA"/>
        </w:rPr>
        <w:t xml:space="preserve">(0566) 63-01-05, (0566) 63-01-00 </w:t>
      </w:r>
    </w:p>
    <w:p w:rsidR="00EF64FA" w:rsidRPr="00160839" w:rsidRDefault="00EF64FA" w:rsidP="00EF64FA">
      <w:pPr>
        <w:widowControl w:val="0"/>
        <w:autoSpaceDE w:val="0"/>
        <w:autoSpaceDN w:val="0"/>
        <w:adjustRightInd w:val="0"/>
        <w:jc w:val="both"/>
        <w:rPr>
          <w:sz w:val="22"/>
          <w:szCs w:val="22"/>
          <w:lang w:val="uk-UA"/>
        </w:rPr>
      </w:pPr>
      <w:r w:rsidRPr="00160839">
        <w:rPr>
          <w:b/>
          <w:sz w:val="22"/>
          <w:szCs w:val="22"/>
          <w:lang w:val="uk-UA"/>
        </w:rPr>
        <w:t>Електронна поштова адреса:</w:t>
      </w:r>
      <w:r w:rsidRPr="00160839">
        <w:rPr>
          <w:sz w:val="22"/>
          <w:szCs w:val="22"/>
          <w:lang w:val="uk-UA"/>
        </w:rPr>
        <w:t xml:space="preserve">      </w:t>
      </w:r>
      <w:hyperlink r:id="rId4" w:history="1">
        <w:r w:rsidRPr="00160839">
          <w:rPr>
            <w:rStyle w:val="a3"/>
            <w:sz w:val="22"/>
            <w:szCs w:val="22"/>
            <w:lang w:val="uk-UA"/>
          </w:rPr>
          <w:t>lberezina@centravis.com.ua</w:t>
        </w:r>
      </w:hyperlink>
      <w:r w:rsidRPr="00160839">
        <w:rPr>
          <w:sz w:val="22"/>
          <w:szCs w:val="22"/>
          <w:lang w:val="uk-UA"/>
        </w:rPr>
        <w:t xml:space="preserve"> </w:t>
      </w:r>
    </w:p>
    <w:p w:rsidR="00EF64FA" w:rsidRPr="00160839" w:rsidRDefault="00EF64FA" w:rsidP="00EF64FA">
      <w:pPr>
        <w:widowControl w:val="0"/>
        <w:autoSpaceDE w:val="0"/>
        <w:autoSpaceDN w:val="0"/>
        <w:adjustRightInd w:val="0"/>
        <w:jc w:val="both"/>
        <w:rPr>
          <w:sz w:val="22"/>
          <w:szCs w:val="22"/>
          <w:lang w:val="uk-UA"/>
        </w:rPr>
      </w:pPr>
      <w:r w:rsidRPr="00160839">
        <w:rPr>
          <w:b/>
          <w:sz w:val="22"/>
          <w:szCs w:val="22"/>
          <w:lang w:val="uk-UA"/>
        </w:rPr>
        <w:t xml:space="preserve">Адреса сторінки в мережі Інтернет, яка додатково використовується емітентом для розкриття інформації:  </w:t>
      </w:r>
      <w:hyperlink r:id="rId5" w:history="1">
        <w:r w:rsidRPr="00160839">
          <w:rPr>
            <w:rStyle w:val="a3"/>
            <w:sz w:val="22"/>
            <w:szCs w:val="22"/>
            <w:lang w:val="uk-UA"/>
          </w:rPr>
          <w:t>http://centravis.com/products-services/certificates/</w:t>
        </w:r>
      </w:hyperlink>
      <w:r w:rsidRPr="00160839">
        <w:rPr>
          <w:sz w:val="22"/>
          <w:szCs w:val="22"/>
          <w:lang w:val="uk-UA"/>
        </w:rPr>
        <w:t xml:space="preserve"> </w:t>
      </w:r>
    </w:p>
    <w:p w:rsidR="00EF64FA" w:rsidRPr="00160839" w:rsidRDefault="00EF64FA" w:rsidP="00EF64FA">
      <w:pPr>
        <w:widowControl w:val="0"/>
        <w:autoSpaceDE w:val="0"/>
        <w:autoSpaceDN w:val="0"/>
        <w:adjustRightInd w:val="0"/>
        <w:jc w:val="both"/>
        <w:rPr>
          <w:sz w:val="22"/>
          <w:szCs w:val="22"/>
          <w:lang w:val="uk-UA"/>
        </w:rPr>
      </w:pPr>
      <w:r w:rsidRPr="00160839">
        <w:rPr>
          <w:b/>
          <w:sz w:val="22"/>
          <w:szCs w:val="22"/>
          <w:lang w:val="uk-UA"/>
        </w:rPr>
        <w:t xml:space="preserve">Вид інформації: </w:t>
      </w:r>
      <w:r w:rsidRPr="00160839">
        <w:rPr>
          <w:sz w:val="22"/>
          <w:szCs w:val="22"/>
          <w:lang w:val="uk-UA"/>
        </w:rPr>
        <w:t>інформація про структуру власності приватного акціонерного товариства (якщо таким товариством не здійснювалася публічна пропозиція цінних паперів), 100 відсотків акцій якого прямо або опосередковано належить одній особі, крім товариства, 100 відсотків акцій якого прямо або опосередковано належить державі</w:t>
      </w:r>
    </w:p>
    <w:p w:rsidR="00EF64FA" w:rsidRPr="00160839" w:rsidRDefault="00EF64FA" w:rsidP="00EF64FA">
      <w:pPr>
        <w:widowControl w:val="0"/>
        <w:autoSpaceDE w:val="0"/>
        <w:autoSpaceDN w:val="0"/>
        <w:adjustRightInd w:val="0"/>
        <w:jc w:val="both"/>
        <w:rPr>
          <w:sz w:val="22"/>
          <w:szCs w:val="22"/>
          <w:lang w:val="uk-UA"/>
        </w:rPr>
      </w:pPr>
    </w:p>
    <w:p w:rsidR="00EF64FA" w:rsidRPr="00160839" w:rsidRDefault="00EF64FA" w:rsidP="00EF64FA">
      <w:pPr>
        <w:jc w:val="both"/>
        <w:rPr>
          <w:b/>
          <w:sz w:val="22"/>
          <w:szCs w:val="22"/>
          <w:lang w:val="uk-UA"/>
        </w:rPr>
      </w:pPr>
      <w:r w:rsidRPr="00160839">
        <w:rPr>
          <w:b/>
          <w:sz w:val="22"/>
          <w:szCs w:val="22"/>
          <w:lang w:val="uk-UA"/>
        </w:rPr>
        <w:t>Інформація про структуру власності розкривається станом на 22.04.2019 року</w:t>
      </w:r>
    </w:p>
    <w:p w:rsidR="00EF64FA" w:rsidRPr="00160839" w:rsidRDefault="00EF64FA" w:rsidP="00EF64FA">
      <w:pPr>
        <w:jc w:val="both"/>
        <w:rPr>
          <w:b/>
          <w:sz w:val="22"/>
          <w:szCs w:val="22"/>
          <w:lang w:val="uk-UA"/>
        </w:rPr>
      </w:pPr>
      <w:r w:rsidRPr="00160839">
        <w:rPr>
          <w:b/>
          <w:sz w:val="22"/>
          <w:szCs w:val="22"/>
          <w:lang w:val="uk-UA"/>
        </w:rPr>
        <w:t>100 відсотків акцій емітента прямо належить одній особі протягом останніх більш як 9 років</w:t>
      </w:r>
    </w:p>
    <w:p w:rsidR="00EF64FA" w:rsidRPr="00160839" w:rsidRDefault="00EF64FA" w:rsidP="00EF64FA">
      <w:pPr>
        <w:jc w:val="both"/>
        <w:rPr>
          <w:b/>
          <w:sz w:val="22"/>
          <w:szCs w:val="22"/>
          <w:lang w:val="uk-UA"/>
        </w:rPr>
      </w:pPr>
    </w:p>
    <w:p w:rsidR="00EF64FA" w:rsidRPr="009D1BDC" w:rsidRDefault="00EF64FA" w:rsidP="00EF64FA">
      <w:pPr>
        <w:pStyle w:val="rvps7"/>
        <w:shd w:val="clear" w:color="auto" w:fill="FFFFFF"/>
        <w:spacing w:before="150" w:beforeAutospacing="0" w:after="150" w:afterAutospacing="0"/>
        <w:ind w:left="450" w:right="450"/>
        <w:jc w:val="center"/>
        <w:rPr>
          <w:color w:val="000000"/>
          <w:sz w:val="22"/>
          <w:szCs w:val="22"/>
          <w:lang w:val="uk-UA"/>
        </w:rPr>
      </w:pPr>
      <w:r w:rsidRPr="009D1BDC">
        <w:rPr>
          <w:rFonts w:ascii="Times New Roman CYR" w:hAnsi="Times New Roman CYR" w:cs="Times New Roman CYR"/>
          <w:b/>
          <w:bCs/>
          <w:sz w:val="22"/>
          <w:szCs w:val="22"/>
          <w:lang w:val="uk-UA"/>
        </w:rPr>
        <w:t>Інформація про структуру власності приватного акціонерного товариства (якщо таким товариством не здійснювалася публічна пропозиція цінних паперів),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24"/>
        <w:gridCol w:w="1616"/>
        <w:gridCol w:w="629"/>
        <w:gridCol w:w="1517"/>
        <w:gridCol w:w="854"/>
        <w:gridCol w:w="1611"/>
        <w:gridCol w:w="1267"/>
        <w:gridCol w:w="1421"/>
      </w:tblGrid>
      <w:tr w:rsidR="00EF64FA" w:rsidRPr="00160839" w:rsidTr="005D6593">
        <w:trPr>
          <w:trHeight w:val="585"/>
        </w:trPr>
        <w:tc>
          <w:tcPr>
            <w:tcW w:w="9339" w:type="dxa"/>
            <w:gridSpan w:val="8"/>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bookmarkStart w:id="0" w:name="n2564"/>
            <w:bookmarkEnd w:id="0"/>
            <w:r w:rsidRPr="00160839">
              <w:rPr>
                <w:rStyle w:val="rvts82"/>
                <w:color w:val="000000"/>
                <w:sz w:val="22"/>
                <w:szCs w:val="22"/>
                <w:lang w:val="uk-UA"/>
              </w:rPr>
              <w:t xml:space="preserve">Структура власності приватного акціонерного товариства (якщо таким товариством не здійснювалася публічна пропозиція цінних паперів),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 (далі - Товариство), станом на </w:t>
            </w:r>
            <w:r>
              <w:rPr>
                <w:rStyle w:val="rvts82"/>
                <w:color w:val="000000"/>
                <w:sz w:val="22"/>
                <w:szCs w:val="22"/>
                <w:lang w:val="uk-UA"/>
              </w:rPr>
              <w:t>22 квітня</w:t>
            </w:r>
            <w:r w:rsidRPr="00160839">
              <w:rPr>
                <w:rStyle w:val="rvts82"/>
                <w:color w:val="000000"/>
                <w:sz w:val="22"/>
                <w:szCs w:val="22"/>
                <w:lang w:val="uk-UA"/>
              </w:rPr>
              <w:t xml:space="preserve"> 20</w:t>
            </w:r>
            <w:r>
              <w:rPr>
                <w:rStyle w:val="rvts82"/>
                <w:color w:val="000000"/>
                <w:sz w:val="22"/>
                <w:szCs w:val="22"/>
                <w:lang w:val="uk-UA"/>
              </w:rPr>
              <w:t>19</w:t>
            </w:r>
            <w:r w:rsidRPr="00160839">
              <w:rPr>
                <w:rStyle w:val="rvts82"/>
                <w:color w:val="000000"/>
                <w:sz w:val="22"/>
                <w:szCs w:val="22"/>
                <w:lang w:val="uk-UA"/>
              </w:rPr>
              <w:t xml:space="preserve"> року</w:t>
            </w:r>
          </w:p>
        </w:tc>
      </w:tr>
      <w:tr w:rsidR="00EF64FA" w:rsidRPr="00160839" w:rsidTr="005D6593">
        <w:trPr>
          <w:trHeight w:val="60"/>
        </w:trPr>
        <w:tc>
          <w:tcPr>
            <w:tcW w:w="42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rStyle w:val="rvts82"/>
                <w:color w:val="000000"/>
                <w:sz w:val="22"/>
                <w:szCs w:val="22"/>
                <w:lang w:val="uk-UA"/>
              </w:rPr>
              <w:t>№ з/п</w:t>
            </w:r>
          </w:p>
        </w:tc>
        <w:tc>
          <w:tcPr>
            <w:tcW w:w="161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rStyle w:val="rvts82"/>
                <w:color w:val="000000"/>
                <w:sz w:val="22"/>
                <w:szCs w:val="22"/>
                <w:lang w:val="uk-UA"/>
              </w:rPr>
              <w:t>Особа, якій прямо або опосередковано належить 100 % акцій Товариства</w:t>
            </w:r>
          </w:p>
        </w:tc>
        <w:tc>
          <w:tcPr>
            <w:tcW w:w="300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rStyle w:val="rvts82"/>
                <w:color w:val="000000"/>
                <w:sz w:val="22"/>
                <w:szCs w:val="22"/>
                <w:lang w:val="uk-UA"/>
              </w:rPr>
              <w:t>Участь особи в Товаристві, %</w:t>
            </w:r>
          </w:p>
        </w:tc>
        <w:tc>
          <w:tcPr>
            <w:tcW w:w="161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rStyle w:val="rvts82"/>
                <w:color w:val="000000"/>
                <w:sz w:val="22"/>
                <w:szCs w:val="22"/>
                <w:lang w:val="uk-UA"/>
              </w:rPr>
              <w:t>Акціонери Товариства, через яких особа опосередковано володіє 100 % акцій Товариства**</w:t>
            </w:r>
          </w:p>
        </w:tc>
        <w:tc>
          <w:tcPr>
            <w:tcW w:w="1267"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rStyle w:val="rvts82"/>
                <w:color w:val="000000"/>
                <w:sz w:val="22"/>
                <w:szCs w:val="22"/>
                <w:lang w:val="uk-UA"/>
              </w:rPr>
              <w:t>Відсоток володіння акціонерами акціями Товариства, %</w:t>
            </w:r>
          </w:p>
        </w:tc>
        <w:tc>
          <w:tcPr>
            <w:tcW w:w="142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rStyle w:val="rvts82"/>
                <w:color w:val="000000"/>
                <w:sz w:val="22"/>
                <w:szCs w:val="22"/>
                <w:lang w:val="uk-UA"/>
              </w:rPr>
              <w:t xml:space="preserve">Кінцевий </w:t>
            </w:r>
            <w:proofErr w:type="spellStart"/>
            <w:r w:rsidRPr="00160839">
              <w:rPr>
                <w:rStyle w:val="rvts82"/>
                <w:color w:val="000000"/>
                <w:sz w:val="22"/>
                <w:szCs w:val="22"/>
                <w:lang w:val="uk-UA"/>
              </w:rPr>
              <w:t>бенефіціарний</w:t>
            </w:r>
            <w:proofErr w:type="spellEnd"/>
            <w:r w:rsidRPr="00160839">
              <w:rPr>
                <w:rStyle w:val="rvts82"/>
                <w:color w:val="000000"/>
                <w:sz w:val="22"/>
                <w:szCs w:val="22"/>
                <w:lang w:val="uk-UA"/>
              </w:rPr>
              <w:t xml:space="preserve"> власник (контролер) особи (для юридичних осіб)</w:t>
            </w:r>
          </w:p>
        </w:tc>
      </w:tr>
      <w:tr w:rsidR="00EF64FA" w:rsidRPr="00160839" w:rsidTr="005D6593">
        <w:trPr>
          <w:trHeight w:val="525"/>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rPr>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rPr>
                <w:sz w:val="22"/>
                <w:szCs w:val="22"/>
                <w:lang w:val="uk-UA"/>
              </w:rPr>
            </w:pPr>
          </w:p>
        </w:tc>
        <w:tc>
          <w:tcPr>
            <w:tcW w:w="629" w:type="dxa"/>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rStyle w:val="rvts82"/>
                <w:color w:val="000000"/>
                <w:sz w:val="22"/>
                <w:szCs w:val="22"/>
                <w:lang w:val="uk-UA"/>
              </w:rPr>
              <w:t>пряма</w:t>
            </w:r>
          </w:p>
        </w:tc>
        <w:tc>
          <w:tcPr>
            <w:tcW w:w="1517" w:type="dxa"/>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rStyle w:val="rvts82"/>
                <w:color w:val="000000"/>
                <w:sz w:val="22"/>
                <w:szCs w:val="22"/>
                <w:lang w:val="uk-UA"/>
              </w:rPr>
              <w:t>опосередкована</w:t>
            </w:r>
          </w:p>
        </w:tc>
        <w:tc>
          <w:tcPr>
            <w:tcW w:w="854" w:type="dxa"/>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rStyle w:val="rvts82"/>
                <w:color w:val="000000"/>
                <w:sz w:val="22"/>
                <w:szCs w:val="22"/>
                <w:lang w:val="uk-UA"/>
              </w:rPr>
              <w:t>сукупна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F64FA" w:rsidRPr="00160839" w:rsidRDefault="00EF64FA" w:rsidP="00DB5BB3">
            <w:pPr>
              <w:rPr>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F64FA" w:rsidRPr="00160839" w:rsidRDefault="00EF64FA" w:rsidP="00DB5BB3">
            <w:pPr>
              <w:rPr>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F64FA" w:rsidRPr="00160839" w:rsidRDefault="00EF64FA" w:rsidP="00DB5BB3">
            <w:pPr>
              <w:rPr>
                <w:sz w:val="22"/>
                <w:szCs w:val="22"/>
                <w:lang w:val="uk-UA"/>
              </w:rPr>
            </w:pPr>
          </w:p>
        </w:tc>
      </w:tr>
      <w:tr w:rsidR="00EF64FA" w:rsidRPr="00160839" w:rsidTr="005D6593">
        <w:trPr>
          <w:trHeight w:val="165"/>
        </w:trPr>
        <w:tc>
          <w:tcPr>
            <w:tcW w:w="424" w:type="dxa"/>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rStyle w:val="rvts82"/>
                <w:color w:val="000000"/>
                <w:sz w:val="22"/>
                <w:szCs w:val="22"/>
                <w:lang w:val="uk-UA"/>
              </w:rPr>
              <w:t>1</w:t>
            </w:r>
          </w:p>
        </w:tc>
        <w:tc>
          <w:tcPr>
            <w:tcW w:w="1616" w:type="dxa"/>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rStyle w:val="rvts82"/>
                <w:color w:val="000000"/>
                <w:sz w:val="22"/>
                <w:szCs w:val="22"/>
                <w:lang w:val="uk-UA"/>
              </w:rPr>
              <w:t>2</w:t>
            </w:r>
          </w:p>
        </w:tc>
        <w:tc>
          <w:tcPr>
            <w:tcW w:w="629" w:type="dxa"/>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rStyle w:val="rvts82"/>
                <w:color w:val="000000"/>
                <w:sz w:val="22"/>
                <w:szCs w:val="22"/>
                <w:lang w:val="uk-UA"/>
              </w:rPr>
              <w:t>3</w:t>
            </w:r>
          </w:p>
        </w:tc>
        <w:tc>
          <w:tcPr>
            <w:tcW w:w="1517" w:type="dxa"/>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rStyle w:val="rvts82"/>
                <w:color w:val="000000"/>
                <w:sz w:val="22"/>
                <w:szCs w:val="22"/>
                <w:lang w:val="uk-UA"/>
              </w:rPr>
              <w:t>4</w:t>
            </w:r>
          </w:p>
        </w:tc>
        <w:tc>
          <w:tcPr>
            <w:tcW w:w="854" w:type="dxa"/>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rStyle w:val="rvts82"/>
                <w:color w:val="000000"/>
                <w:sz w:val="22"/>
                <w:szCs w:val="22"/>
                <w:lang w:val="uk-UA"/>
              </w:rPr>
              <w:t>5</w:t>
            </w:r>
          </w:p>
        </w:tc>
        <w:tc>
          <w:tcPr>
            <w:tcW w:w="1611" w:type="dxa"/>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rStyle w:val="rvts82"/>
                <w:color w:val="000000"/>
                <w:sz w:val="22"/>
                <w:szCs w:val="22"/>
                <w:lang w:val="uk-UA"/>
              </w:rPr>
              <w:t>6</w:t>
            </w:r>
          </w:p>
        </w:tc>
        <w:tc>
          <w:tcPr>
            <w:tcW w:w="1267" w:type="dxa"/>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rStyle w:val="rvts82"/>
                <w:color w:val="000000"/>
                <w:sz w:val="22"/>
                <w:szCs w:val="22"/>
                <w:lang w:val="uk-UA"/>
              </w:rPr>
              <w:t>7</w:t>
            </w:r>
          </w:p>
        </w:tc>
        <w:tc>
          <w:tcPr>
            <w:tcW w:w="1421" w:type="dxa"/>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rStyle w:val="rvts82"/>
                <w:color w:val="000000"/>
                <w:sz w:val="22"/>
                <w:szCs w:val="22"/>
                <w:lang w:val="uk-UA"/>
              </w:rPr>
              <w:t>8</w:t>
            </w:r>
          </w:p>
        </w:tc>
      </w:tr>
      <w:tr w:rsidR="00EF64FA" w:rsidRPr="00160839" w:rsidTr="005D6593">
        <w:trPr>
          <w:trHeight w:val="3589"/>
        </w:trPr>
        <w:tc>
          <w:tcPr>
            <w:tcW w:w="424" w:type="dxa"/>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color w:val="000000"/>
                <w:sz w:val="22"/>
                <w:szCs w:val="22"/>
                <w:lang w:val="uk-UA"/>
              </w:rPr>
              <w:br/>
            </w:r>
          </w:p>
        </w:tc>
        <w:tc>
          <w:tcPr>
            <w:tcW w:w="1616" w:type="dxa"/>
            <w:tcBorders>
              <w:top w:val="single" w:sz="6" w:space="0" w:color="000000"/>
              <w:left w:val="single" w:sz="6" w:space="0" w:color="000000"/>
              <w:bottom w:val="single" w:sz="6" w:space="0" w:color="000000"/>
              <w:right w:val="single" w:sz="6" w:space="0" w:color="000000"/>
            </w:tcBorders>
            <w:shd w:val="clear" w:color="auto" w:fill="auto"/>
            <w:hideMark/>
          </w:tcPr>
          <w:p w:rsidR="00EF64FA" w:rsidRDefault="00EF64FA" w:rsidP="00DB5BB3">
            <w:pPr>
              <w:pStyle w:val="rvps12"/>
              <w:spacing w:before="150" w:beforeAutospacing="0" w:after="150" w:afterAutospacing="0"/>
              <w:jc w:val="center"/>
              <w:rPr>
                <w:sz w:val="22"/>
                <w:szCs w:val="22"/>
                <w:lang w:val="uk-UA"/>
              </w:rPr>
            </w:pPr>
            <w:r w:rsidRPr="00160839">
              <w:rPr>
                <w:sz w:val="22"/>
                <w:szCs w:val="22"/>
                <w:lang w:val="uk-UA"/>
              </w:rPr>
              <w:t xml:space="preserve">CENTRAVIS LIMITED (СЕНТРАВІС ЛІМІТЕД), </w:t>
            </w:r>
          </w:p>
          <w:p w:rsidR="00EF64FA" w:rsidRPr="00160839" w:rsidRDefault="00EF64FA" w:rsidP="00DB5BB3">
            <w:pPr>
              <w:pStyle w:val="rvps12"/>
              <w:spacing w:before="150" w:beforeAutospacing="0" w:after="150" w:afterAutospacing="0"/>
              <w:jc w:val="center"/>
              <w:rPr>
                <w:sz w:val="22"/>
                <w:szCs w:val="22"/>
                <w:lang w:val="uk-UA"/>
              </w:rPr>
            </w:pPr>
            <w:r w:rsidRPr="00160839">
              <w:rPr>
                <w:sz w:val="22"/>
                <w:szCs w:val="22"/>
                <w:lang w:val="uk-UA"/>
              </w:rPr>
              <w:t>код 178923</w:t>
            </w:r>
          </w:p>
        </w:tc>
        <w:tc>
          <w:tcPr>
            <w:tcW w:w="629" w:type="dxa"/>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color w:val="000000"/>
                <w:sz w:val="22"/>
                <w:szCs w:val="22"/>
                <w:lang w:val="uk-UA"/>
              </w:rPr>
              <w:br/>
            </w:r>
            <w:r>
              <w:rPr>
                <w:sz w:val="22"/>
                <w:szCs w:val="22"/>
                <w:lang w:val="uk-UA"/>
              </w:rPr>
              <w:t>100</w:t>
            </w:r>
          </w:p>
        </w:tc>
        <w:tc>
          <w:tcPr>
            <w:tcW w:w="1517" w:type="dxa"/>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color w:val="000000"/>
                <w:sz w:val="22"/>
                <w:szCs w:val="22"/>
                <w:lang w:val="uk-UA"/>
              </w:rPr>
              <w:br/>
            </w:r>
            <w:r>
              <w:rPr>
                <w:sz w:val="22"/>
                <w:szCs w:val="22"/>
                <w:lang w:val="uk-UA"/>
              </w:rPr>
              <w:t>0</w:t>
            </w:r>
          </w:p>
        </w:tc>
        <w:tc>
          <w:tcPr>
            <w:tcW w:w="854" w:type="dxa"/>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color w:val="000000"/>
                <w:sz w:val="22"/>
                <w:szCs w:val="22"/>
                <w:lang w:val="uk-UA"/>
              </w:rPr>
              <w:br/>
            </w:r>
            <w:r>
              <w:rPr>
                <w:sz w:val="22"/>
                <w:szCs w:val="22"/>
                <w:lang w:val="uk-UA"/>
              </w:rPr>
              <w:t>100</w:t>
            </w:r>
          </w:p>
        </w:tc>
        <w:tc>
          <w:tcPr>
            <w:tcW w:w="1611" w:type="dxa"/>
            <w:tcBorders>
              <w:top w:val="single" w:sz="6" w:space="0" w:color="000000"/>
              <w:left w:val="single" w:sz="6" w:space="0" w:color="000000"/>
              <w:bottom w:val="single" w:sz="6" w:space="0" w:color="000000"/>
              <w:right w:val="single" w:sz="6" w:space="0" w:color="000000"/>
            </w:tcBorders>
            <w:shd w:val="clear" w:color="auto" w:fill="auto"/>
            <w:hideMark/>
          </w:tcPr>
          <w:p w:rsidR="00EF64FA" w:rsidRPr="006853BC" w:rsidRDefault="00EF64FA" w:rsidP="00DB5BB3">
            <w:pPr>
              <w:pStyle w:val="rvps12"/>
              <w:spacing w:before="150" w:beforeAutospacing="0" w:after="150" w:afterAutospacing="0"/>
              <w:jc w:val="center"/>
              <w:rPr>
                <w:sz w:val="22"/>
                <w:szCs w:val="22"/>
                <w:lang w:val="uk-UA"/>
              </w:rPr>
            </w:pPr>
            <w:r>
              <w:rPr>
                <w:rStyle w:val="rvts82"/>
                <w:color w:val="000000"/>
                <w:lang w:val="uk-UA"/>
              </w:rPr>
              <w:t>відсутні</w:t>
            </w:r>
          </w:p>
        </w:tc>
        <w:tc>
          <w:tcPr>
            <w:tcW w:w="1267" w:type="dxa"/>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sidRPr="00160839">
              <w:rPr>
                <w:color w:val="000000"/>
                <w:sz w:val="22"/>
                <w:szCs w:val="22"/>
                <w:lang w:val="uk-UA"/>
              </w:rPr>
              <w:br/>
            </w:r>
            <w:r>
              <w:rPr>
                <w:sz w:val="22"/>
                <w:szCs w:val="22"/>
                <w:lang w:val="uk-UA"/>
              </w:rPr>
              <w:t>100</w:t>
            </w:r>
          </w:p>
        </w:tc>
        <w:tc>
          <w:tcPr>
            <w:tcW w:w="1421" w:type="dxa"/>
            <w:tcBorders>
              <w:top w:val="single" w:sz="6" w:space="0" w:color="000000"/>
              <w:left w:val="single" w:sz="6" w:space="0" w:color="000000"/>
              <w:bottom w:val="single" w:sz="6" w:space="0" w:color="000000"/>
              <w:right w:val="single" w:sz="6" w:space="0" w:color="000000"/>
            </w:tcBorders>
            <w:shd w:val="clear" w:color="auto" w:fill="auto"/>
            <w:hideMark/>
          </w:tcPr>
          <w:p w:rsidR="00EF64FA" w:rsidRPr="00160839" w:rsidRDefault="00EF64FA" w:rsidP="00DB5BB3">
            <w:pPr>
              <w:pStyle w:val="rvps12"/>
              <w:spacing w:before="150" w:beforeAutospacing="0" w:after="150" w:afterAutospacing="0"/>
              <w:jc w:val="center"/>
              <w:rPr>
                <w:sz w:val="22"/>
                <w:szCs w:val="22"/>
                <w:lang w:val="uk-UA"/>
              </w:rPr>
            </w:pPr>
            <w:r>
              <w:rPr>
                <w:color w:val="000000"/>
                <w:sz w:val="22"/>
                <w:szCs w:val="22"/>
                <w:lang w:val="uk-UA"/>
              </w:rPr>
              <w:t xml:space="preserve">кінцевий </w:t>
            </w:r>
            <w:proofErr w:type="spellStart"/>
            <w:r>
              <w:rPr>
                <w:color w:val="000000"/>
                <w:sz w:val="22"/>
                <w:szCs w:val="22"/>
                <w:lang w:val="uk-UA"/>
              </w:rPr>
              <w:t>бенефіціарний</w:t>
            </w:r>
            <w:proofErr w:type="spellEnd"/>
            <w:r>
              <w:rPr>
                <w:color w:val="000000"/>
                <w:sz w:val="22"/>
                <w:szCs w:val="22"/>
                <w:lang w:val="uk-UA"/>
              </w:rPr>
              <w:t xml:space="preserve"> власник (контролер) в учасника (засновника) юридичної особи, якщо учасник (засновник) юридична особа, ВІДСУТНІЙ</w:t>
            </w:r>
          </w:p>
        </w:tc>
      </w:tr>
    </w:tbl>
    <w:p w:rsidR="00EF64FA" w:rsidRDefault="005D6593" w:rsidP="00EF64FA">
      <w:pPr>
        <w:jc w:val="both"/>
        <w:rPr>
          <w:b/>
          <w:sz w:val="22"/>
          <w:szCs w:val="22"/>
          <w:lang w:val="uk-UA"/>
        </w:rPr>
      </w:pPr>
      <w:bookmarkStart w:id="1" w:name="n2565"/>
      <w:bookmarkStart w:id="2" w:name="_GoBack"/>
      <w:bookmarkEnd w:id="1"/>
      <w:r>
        <w:rPr>
          <w:noProof/>
        </w:rPr>
        <w:lastRenderedPageBreak/>
        <w:drawing>
          <wp:inline distT="0" distB="0" distL="0" distR="0" wp14:anchorId="294AC401" wp14:editId="344E339B">
            <wp:extent cx="3967480" cy="268754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19528" cy="2722798"/>
                    </a:xfrm>
                    <a:prstGeom prst="rect">
                      <a:avLst/>
                    </a:prstGeom>
                  </pic:spPr>
                </pic:pic>
              </a:graphicData>
            </a:graphic>
          </wp:inline>
        </w:drawing>
      </w:r>
      <w:bookmarkEnd w:id="2"/>
    </w:p>
    <w:p w:rsidR="00EF64FA" w:rsidRPr="00160839" w:rsidRDefault="00D311E9" w:rsidP="00EF64FA">
      <w:pPr>
        <w:jc w:val="both"/>
        <w:rPr>
          <w:b/>
          <w:sz w:val="22"/>
          <w:szCs w:val="22"/>
          <w:lang w:val="uk-UA"/>
        </w:rPr>
      </w:pPr>
      <w:r>
        <w:rPr>
          <w:noProof/>
        </w:rPr>
        <w:drawing>
          <wp:inline distT="0" distB="0" distL="0" distR="0" wp14:anchorId="3F81A55B" wp14:editId="0846B73D">
            <wp:extent cx="3781425" cy="2638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81425" cy="2638425"/>
                    </a:xfrm>
                    <a:prstGeom prst="rect">
                      <a:avLst/>
                    </a:prstGeom>
                  </pic:spPr>
                </pic:pic>
              </a:graphicData>
            </a:graphic>
          </wp:inline>
        </w:drawing>
      </w:r>
    </w:p>
    <w:sectPr w:rsidR="00EF64FA" w:rsidRPr="00160839" w:rsidSect="006853BC">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6F"/>
    <w:rsid w:val="00112682"/>
    <w:rsid w:val="0015677A"/>
    <w:rsid w:val="005D6593"/>
    <w:rsid w:val="008722CA"/>
    <w:rsid w:val="00A650DE"/>
    <w:rsid w:val="00D311E9"/>
    <w:rsid w:val="00D6766F"/>
    <w:rsid w:val="00EF64FA"/>
    <w:rsid w:val="00FD6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4BD5B-E4A6-45DF-86E9-18775BB2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4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64FA"/>
    <w:rPr>
      <w:color w:val="0000FF"/>
      <w:u w:val="single"/>
    </w:rPr>
  </w:style>
  <w:style w:type="paragraph" w:customStyle="1" w:styleId="rvps7">
    <w:name w:val="rvps7"/>
    <w:basedOn w:val="a"/>
    <w:rsid w:val="00EF64FA"/>
    <w:pPr>
      <w:spacing w:before="100" w:beforeAutospacing="1" w:after="100" w:afterAutospacing="1"/>
    </w:pPr>
  </w:style>
  <w:style w:type="paragraph" w:customStyle="1" w:styleId="rvps12">
    <w:name w:val="rvps12"/>
    <w:basedOn w:val="a"/>
    <w:rsid w:val="00EF64FA"/>
    <w:pPr>
      <w:spacing w:before="100" w:beforeAutospacing="1" w:after="100" w:afterAutospacing="1"/>
    </w:pPr>
  </w:style>
  <w:style w:type="character" w:customStyle="1" w:styleId="rvts82">
    <w:name w:val="rvts82"/>
    <w:rsid w:val="00EF64FA"/>
  </w:style>
  <w:style w:type="paragraph" w:styleId="a4">
    <w:name w:val="Balloon Text"/>
    <w:basedOn w:val="a"/>
    <w:link w:val="a5"/>
    <w:uiPriority w:val="99"/>
    <w:semiHidden/>
    <w:unhideWhenUsed/>
    <w:rsid w:val="005D6593"/>
    <w:rPr>
      <w:rFonts w:ascii="Segoe UI" w:hAnsi="Segoe UI" w:cs="Segoe UI"/>
      <w:sz w:val="18"/>
      <w:szCs w:val="18"/>
    </w:rPr>
  </w:style>
  <w:style w:type="character" w:customStyle="1" w:styleId="a5">
    <w:name w:val="Текст выноски Знак"/>
    <w:basedOn w:val="a0"/>
    <w:link w:val="a4"/>
    <w:uiPriority w:val="99"/>
    <w:semiHidden/>
    <w:rsid w:val="005D659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centravis.com/products-services/certificates/" TargetMode="External"/><Relationship Id="rId4" Type="http://schemas.openxmlformats.org/officeDocument/2006/relationships/hyperlink" Target="mailto:lberezina@centravis.com.u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Lidiya Berezina</dc:creator>
  <cp:keywords/>
  <dc:description/>
  <cp:lastModifiedBy>Lidiya Berezina</cp:lastModifiedBy>
  <cp:revision>8</cp:revision>
  <cp:lastPrinted>2019-04-22T10:17:00Z</cp:lastPrinted>
  <dcterms:created xsi:type="dcterms:W3CDTF">2019-04-22T09:13:00Z</dcterms:created>
  <dcterms:modified xsi:type="dcterms:W3CDTF">2019-04-22T10:22:00Z</dcterms:modified>
</cp:coreProperties>
</file>